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98" w:rsidRDefault="00394D98">
      <w:pPr>
        <w:shd w:val="pct15" w:color="auto" w:fill="FFFFFF"/>
        <w:jc w:val="center"/>
        <w:rPr>
          <w:rFonts w:ascii="Verdana" w:hAnsi="Verdana"/>
          <w:b/>
          <w:i/>
          <w:sz w:val="48"/>
          <w:lang w:val="uk-UA"/>
        </w:rPr>
      </w:pPr>
      <w:r>
        <w:rPr>
          <w:rFonts w:ascii="Verdana" w:hAnsi="Verdana"/>
          <w:b/>
          <w:sz w:val="48"/>
          <w:lang w:val="uk-UA"/>
        </w:rPr>
        <w:t>Аудиторська  фірма “</w:t>
      </w:r>
      <w:r>
        <w:rPr>
          <w:rFonts w:ascii="Verdana" w:hAnsi="Verdana"/>
          <w:b/>
          <w:i/>
          <w:sz w:val="48"/>
          <w:lang w:val="uk-UA"/>
        </w:rPr>
        <w:t>КАПІТАЛЪ”</w:t>
      </w:r>
    </w:p>
    <w:p w:rsidR="00394D98" w:rsidRDefault="00394D98">
      <w:pPr>
        <w:shd w:val="pct15" w:color="auto" w:fill="FFFFFF"/>
        <w:jc w:val="center"/>
        <w:rPr>
          <w:rFonts w:ascii="Verdana" w:hAnsi="Verdana"/>
          <w:b/>
          <w:sz w:val="18"/>
          <w:lang w:val="uk-UA"/>
        </w:rPr>
      </w:pPr>
      <w:r>
        <w:rPr>
          <w:rFonts w:ascii="Verdana" w:hAnsi="Verdana"/>
          <w:b/>
          <w:sz w:val="18"/>
          <w:lang w:val="uk-UA"/>
        </w:rPr>
        <w:t>м. Полтава вул. Жовтнева б. 54</w:t>
      </w:r>
    </w:p>
    <w:p w:rsidR="00394D98" w:rsidRDefault="00394D98">
      <w:pPr>
        <w:shd w:val="pct15" w:color="auto" w:fill="FFFFFF"/>
        <w:jc w:val="center"/>
        <w:rPr>
          <w:rFonts w:ascii="Verdana" w:hAnsi="Verdana"/>
          <w:b/>
          <w:sz w:val="18"/>
          <w:lang w:val="uk-UA"/>
        </w:rPr>
      </w:pPr>
      <w:r>
        <w:rPr>
          <w:rFonts w:ascii="Verdana" w:hAnsi="Verdana"/>
          <w:b/>
          <w:sz w:val="18"/>
          <w:lang w:val="uk-UA"/>
        </w:rPr>
        <w:t xml:space="preserve">Код 31391266 р/р260070008201  в ПФ Фінанси та кредит  МФО 331832 м. Полтава </w:t>
      </w:r>
    </w:p>
    <w:p w:rsidR="00394D98" w:rsidRDefault="00394D98">
      <w:pPr>
        <w:shd w:val="pct15" w:color="auto" w:fill="FFFFFF"/>
        <w:jc w:val="center"/>
        <w:rPr>
          <w:rFonts w:ascii="Verdana" w:hAnsi="Verdana"/>
          <w:b/>
          <w:i/>
          <w:sz w:val="14"/>
          <w:lang w:val="uk-UA"/>
        </w:rPr>
      </w:pPr>
      <w:r>
        <w:rPr>
          <w:rFonts w:ascii="Verdana" w:hAnsi="Verdana"/>
          <w:b/>
          <w:i/>
          <w:spacing w:val="20"/>
          <w:sz w:val="14"/>
          <w:lang w:val="uk-UA"/>
        </w:rPr>
        <w:t>Свідоцтво про внесення в реєстр аудиторських фірма № 2798 від 26 грудня 2001 року.</w:t>
      </w:r>
    </w:p>
    <w:p w:rsidR="00394D98" w:rsidRDefault="00394D98">
      <w:pPr>
        <w:shd w:val="pct15" w:color="auto" w:fill="FFFFFF"/>
        <w:jc w:val="center"/>
        <w:rPr>
          <w:rFonts w:ascii="Verdana" w:hAnsi="Verdana"/>
          <w:b/>
          <w:sz w:val="18"/>
          <w:lang w:val="uk-UA"/>
        </w:rPr>
      </w:pPr>
      <w:r>
        <w:rPr>
          <w:rFonts w:ascii="Verdana" w:hAnsi="Verdana"/>
          <w:b/>
          <w:sz w:val="18"/>
          <w:lang w:val="uk-UA"/>
        </w:rPr>
        <w:t xml:space="preserve"> (0532) 509-581, 611-612</w:t>
      </w:r>
    </w:p>
    <w:p w:rsidR="00394D98" w:rsidRDefault="00394D98">
      <w:pPr>
        <w:shd w:val="pct15" w:color="auto" w:fill="FFFFFF"/>
        <w:rPr>
          <w:sz w:val="22"/>
          <w:lang w:val="uk-UA"/>
        </w:rPr>
      </w:pPr>
      <w:r>
        <w:rPr>
          <w:lang w:val="uk-UA"/>
        </w:rPr>
        <w:pict>
          <v:line id="_x0000_s1026" style="position:absolute;z-index:251657728" from="37.1pt,10.85pt" to="440.3pt,10.85pt" o:allowincell="f" strokeweight="4.5pt">
            <v:stroke linestyle="thinThick"/>
          </v:line>
        </w:pict>
      </w:r>
    </w:p>
    <w:p w:rsidR="00394D98" w:rsidRDefault="00394D98">
      <w:pPr>
        <w:pStyle w:val="1"/>
        <w:rPr>
          <w:rFonts w:ascii="Times New Roman" w:hAnsi="Times New Roman"/>
          <w:sz w:val="22"/>
          <w:lang w:val="uk-UA"/>
        </w:rPr>
      </w:pPr>
    </w:p>
    <w:p w:rsidR="00394D98" w:rsidRDefault="00394D98">
      <w:pPr>
        <w:pStyle w:val="1"/>
        <w:rPr>
          <w:rFonts w:ascii="Verdana" w:hAnsi="Verdana"/>
          <w:sz w:val="20"/>
          <w:lang w:val="uk-UA"/>
        </w:rPr>
      </w:pPr>
      <w:r>
        <w:rPr>
          <w:rFonts w:ascii="Verdana" w:hAnsi="Verdana"/>
          <w:sz w:val="20"/>
          <w:lang w:val="uk-UA"/>
        </w:rPr>
        <w:t>ВИСНОВОК НЕЗАЛЕЖНОГО АУДИТОРА</w:t>
      </w:r>
    </w:p>
    <w:p w:rsidR="00394D98" w:rsidRDefault="00394D98">
      <w:pPr>
        <w:pStyle w:val="a3"/>
        <w:jc w:val="center"/>
        <w:rPr>
          <w:rFonts w:ascii="Verdana" w:hAnsi="Verdana"/>
          <w:sz w:val="20"/>
          <w:lang w:val="uk-UA"/>
        </w:rPr>
      </w:pPr>
      <w:r>
        <w:rPr>
          <w:rFonts w:ascii="Verdana" w:hAnsi="Verdana"/>
          <w:sz w:val="20"/>
          <w:lang w:val="uk-UA"/>
        </w:rPr>
        <w:t xml:space="preserve">Про фінансову звітність відкритого акціонерного товариства </w:t>
      </w:r>
      <w:r>
        <w:rPr>
          <w:rFonts w:ascii="Verdana" w:hAnsi="Verdana"/>
          <w:b w:val="0"/>
          <w:sz w:val="20"/>
          <w:lang w:val="uk-UA"/>
        </w:rPr>
        <w:t xml:space="preserve"> </w:t>
      </w:r>
      <w:r>
        <w:rPr>
          <w:rFonts w:ascii="Verdana" w:hAnsi="Verdana"/>
          <w:sz w:val="20"/>
          <w:lang w:val="uk-UA"/>
        </w:rPr>
        <w:t>“</w:t>
      </w:r>
      <w:r w:rsidR="000D158D">
        <w:rPr>
          <w:rFonts w:ascii="Verdana" w:hAnsi="Verdana"/>
          <w:sz w:val="20"/>
          <w:lang w:val="uk-UA"/>
        </w:rPr>
        <w:t>Полтавська міжобласна компанія по будівництву легкої промисловості</w:t>
      </w:r>
      <w:r>
        <w:rPr>
          <w:rFonts w:ascii="Verdana" w:hAnsi="Verdana"/>
          <w:sz w:val="20"/>
          <w:lang w:val="uk-UA"/>
        </w:rPr>
        <w:t>” за 200</w:t>
      </w:r>
      <w:r w:rsidR="00E919F9">
        <w:rPr>
          <w:rFonts w:ascii="Verdana" w:hAnsi="Verdana"/>
          <w:sz w:val="20"/>
          <w:lang w:val="uk-UA"/>
        </w:rPr>
        <w:t>9</w:t>
      </w:r>
      <w:r>
        <w:rPr>
          <w:rFonts w:ascii="Verdana" w:hAnsi="Verdana"/>
          <w:sz w:val="20"/>
          <w:lang w:val="uk-UA"/>
        </w:rPr>
        <w:t xml:space="preserve"> рік.</w:t>
      </w:r>
    </w:p>
    <w:p w:rsidR="00394D98" w:rsidRDefault="00394D98">
      <w:pPr>
        <w:pStyle w:val="a3"/>
        <w:jc w:val="center"/>
        <w:rPr>
          <w:rFonts w:ascii="Verdana" w:hAnsi="Verdana"/>
          <w:sz w:val="20"/>
          <w:lang w:val="uk-UA"/>
        </w:rPr>
      </w:pPr>
    </w:p>
    <w:p w:rsidR="00394D98" w:rsidRPr="00830EEC" w:rsidRDefault="00394D98">
      <w:pPr>
        <w:pStyle w:val="31"/>
        <w:ind w:firstLine="0"/>
        <w:rPr>
          <w:sz w:val="16"/>
          <w:lang w:val="ru-RU"/>
        </w:rPr>
      </w:pPr>
    </w:p>
    <w:p w:rsidR="00394D98" w:rsidRDefault="00394D98">
      <w:pPr>
        <w:pStyle w:val="31"/>
        <w:ind w:firstLine="0"/>
        <w:rPr>
          <w:sz w:val="16"/>
        </w:rPr>
      </w:pPr>
      <w:r>
        <w:rPr>
          <w:sz w:val="16"/>
        </w:rPr>
        <w:t xml:space="preserve">№ </w:t>
      </w:r>
      <w:r w:rsidR="00E919F9">
        <w:rPr>
          <w:sz w:val="16"/>
        </w:rPr>
        <w:t xml:space="preserve">262 </w:t>
      </w:r>
      <w:r>
        <w:rPr>
          <w:sz w:val="16"/>
        </w:rPr>
        <w:t xml:space="preserve">від </w:t>
      </w:r>
      <w:r w:rsidR="00E919F9">
        <w:rPr>
          <w:sz w:val="16"/>
          <w:lang w:val="ru-RU"/>
        </w:rPr>
        <w:t>22</w:t>
      </w:r>
      <w:r>
        <w:rPr>
          <w:sz w:val="16"/>
        </w:rPr>
        <w:t xml:space="preserve">  </w:t>
      </w:r>
      <w:r w:rsidR="00B5349C">
        <w:rPr>
          <w:sz w:val="16"/>
        </w:rPr>
        <w:t>квітня</w:t>
      </w:r>
      <w:r w:rsidR="00B826AF">
        <w:rPr>
          <w:sz w:val="16"/>
        </w:rPr>
        <w:t xml:space="preserve"> 20</w:t>
      </w:r>
      <w:r w:rsidR="00E919F9">
        <w:rPr>
          <w:sz w:val="16"/>
        </w:rPr>
        <w:t>10</w:t>
      </w:r>
      <w:r>
        <w:rPr>
          <w:sz w:val="16"/>
        </w:rPr>
        <w:t xml:space="preserve">року                                                                          </w:t>
      </w:r>
    </w:p>
    <w:p w:rsidR="00394D98" w:rsidRDefault="00394D98">
      <w:pPr>
        <w:pStyle w:val="31"/>
        <w:rPr>
          <w:sz w:val="16"/>
        </w:rPr>
      </w:pPr>
      <w:r>
        <w:rPr>
          <w:sz w:val="16"/>
        </w:rPr>
        <w:t xml:space="preserve">     </w:t>
      </w:r>
    </w:p>
    <w:p w:rsidR="00394D98" w:rsidRDefault="00394D98">
      <w:pPr>
        <w:pStyle w:val="31"/>
        <w:jc w:val="right"/>
      </w:pPr>
      <w:r>
        <w:rPr>
          <w:sz w:val="16"/>
          <w:lang w:val="ru-RU"/>
        </w:rPr>
        <w:t>Акціонерам ВАТ “</w:t>
      </w:r>
      <w:r w:rsidR="000D158D">
        <w:rPr>
          <w:sz w:val="16"/>
        </w:rPr>
        <w:t>ПМК Легбуд</w:t>
      </w:r>
      <w:r>
        <w:rPr>
          <w:sz w:val="16"/>
        </w:rPr>
        <w:t>»</w:t>
      </w:r>
    </w:p>
    <w:p w:rsidR="00394D98" w:rsidRDefault="00394D98">
      <w:pPr>
        <w:pStyle w:val="31"/>
        <w:ind w:firstLine="0"/>
      </w:pPr>
    </w:p>
    <w:p w:rsidR="00394D98" w:rsidRPr="00060BFF" w:rsidRDefault="00394D98">
      <w:pPr>
        <w:pStyle w:val="20"/>
        <w:rPr>
          <w:rFonts w:ascii="Verdana" w:hAnsi="Verdana"/>
          <w:szCs w:val="22"/>
          <w:lang w:val="uk-UA"/>
        </w:rPr>
      </w:pPr>
      <w:r w:rsidRPr="00060BFF">
        <w:rPr>
          <w:rFonts w:ascii="Verdana" w:hAnsi="Verdana"/>
          <w:szCs w:val="22"/>
          <w:lang w:val="uk-UA"/>
        </w:rPr>
        <w:t xml:space="preserve">На підставі Угоди № </w:t>
      </w:r>
      <w:r w:rsidR="00E919F9">
        <w:rPr>
          <w:rFonts w:ascii="Verdana" w:hAnsi="Verdana"/>
          <w:szCs w:val="22"/>
          <w:lang w:val="uk-UA"/>
        </w:rPr>
        <w:t>262 від 11</w:t>
      </w:r>
      <w:r w:rsidRPr="00060BFF">
        <w:rPr>
          <w:rFonts w:ascii="Verdana" w:hAnsi="Verdana"/>
          <w:szCs w:val="22"/>
          <w:lang w:val="uk-UA"/>
        </w:rPr>
        <w:t>.0</w:t>
      </w:r>
      <w:r w:rsidR="00E919F9">
        <w:rPr>
          <w:rFonts w:ascii="Verdana" w:hAnsi="Verdana"/>
          <w:szCs w:val="22"/>
          <w:lang w:val="uk-UA"/>
        </w:rPr>
        <w:t>2.2010</w:t>
      </w:r>
      <w:r w:rsidRPr="00060BFF">
        <w:rPr>
          <w:rFonts w:ascii="Verdana" w:hAnsi="Verdana"/>
          <w:szCs w:val="22"/>
          <w:lang w:val="uk-UA"/>
        </w:rPr>
        <w:t xml:space="preserve"> р. Аудиторською фірмою «КАПІТАЛЪ»  проведена перевірка фінансової звітності за 200</w:t>
      </w:r>
      <w:r w:rsidR="00E919F9">
        <w:rPr>
          <w:rFonts w:ascii="Verdana" w:hAnsi="Verdana"/>
          <w:szCs w:val="22"/>
          <w:lang w:val="uk-UA"/>
        </w:rPr>
        <w:t>9</w:t>
      </w:r>
      <w:r w:rsidRPr="00060BFF">
        <w:rPr>
          <w:rFonts w:ascii="Verdana" w:hAnsi="Verdana"/>
          <w:szCs w:val="22"/>
          <w:lang w:val="uk-UA"/>
        </w:rPr>
        <w:t xml:space="preserve"> рік В</w:t>
      </w:r>
      <w:r w:rsidRPr="00060BFF">
        <w:rPr>
          <w:rFonts w:ascii="Verdana" w:hAnsi="Verdana"/>
          <w:szCs w:val="22"/>
        </w:rPr>
        <w:t>АТ “</w:t>
      </w:r>
      <w:r w:rsidR="00060BFF" w:rsidRPr="00060BFF">
        <w:rPr>
          <w:rFonts w:ascii="Verdana" w:hAnsi="Verdana"/>
          <w:szCs w:val="22"/>
          <w:lang w:val="uk-UA"/>
        </w:rPr>
        <w:t>Полтавська міжобласна компанія по будівництву легкої промисловості</w:t>
      </w:r>
      <w:r w:rsidRPr="00060BFF">
        <w:rPr>
          <w:rFonts w:ascii="Verdana" w:hAnsi="Verdana"/>
          <w:szCs w:val="22"/>
        </w:rPr>
        <w:t>”.</w:t>
      </w:r>
      <w:r w:rsidRPr="00060BFF">
        <w:rPr>
          <w:rFonts w:ascii="Verdana" w:hAnsi="Verdana"/>
          <w:szCs w:val="22"/>
          <w:lang w:val="uk-UA"/>
        </w:rPr>
        <w:t xml:space="preserve"> Ми провели незалежну аудиторську перевірку  фінансової звітності  яка складається з:</w:t>
      </w:r>
    </w:p>
    <w:p w:rsidR="00394D98" w:rsidRPr="00060BFF" w:rsidRDefault="00394D98">
      <w:pPr>
        <w:numPr>
          <w:ilvl w:val="0"/>
          <w:numId w:val="15"/>
        </w:numPr>
        <w:rPr>
          <w:rFonts w:ascii="Verdana" w:hAnsi="Verdana"/>
          <w:sz w:val="22"/>
          <w:szCs w:val="22"/>
          <w:lang w:val="uk-UA"/>
        </w:rPr>
      </w:pPr>
      <w:r w:rsidRPr="00060BFF">
        <w:rPr>
          <w:rFonts w:ascii="Verdana" w:hAnsi="Verdana"/>
          <w:sz w:val="22"/>
          <w:szCs w:val="22"/>
          <w:lang w:val="uk-UA"/>
        </w:rPr>
        <w:t>Балансу станом на 31 грудня 200</w:t>
      </w:r>
      <w:r w:rsidR="00E919F9">
        <w:rPr>
          <w:rFonts w:ascii="Verdana" w:hAnsi="Verdana"/>
          <w:sz w:val="22"/>
          <w:szCs w:val="22"/>
          <w:lang w:val="uk-UA"/>
        </w:rPr>
        <w:t>9</w:t>
      </w:r>
      <w:r w:rsidRPr="00060BFF">
        <w:rPr>
          <w:rFonts w:ascii="Verdana" w:hAnsi="Verdana"/>
          <w:sz w:val="22"/>
          <w:szCs w:val="22"/>
          <w:lang w:val="uk-UA"/>
        </w:rPr>
        <w:t xml:space="preserve"> року;</w:t>
      </w:r>
    </w:p>
    <w:p w:rsidR="00394D98" w:rsidRPr="00060BFF" w:rsidRDefault="00394D98">
      <w:pPr>
        <w:numPr>
          <w:ilvl w:val="0"/>
          <w:numId w:val="15"/>
        </w:numPr>
        <w:rPr>
          <w:rFonts w:ascii="Verdana" w:hAnsi="Verdana"/>
          <w:sz w:val="22"/>
          <w:szCs w:val="22"/>
          <w:lang w:val="uk-UA"/>
        </w:rPr>
      </w:pPr>
      <w:r w:rsidRPr="00060BFF">
        <w:rPr>
          <w:rFonts w:ascii="Verdana" w:hAnsi="Verdana"/>
          <w:sz w:val="22"/>
          <w:szCs w:val="22"/>
          <w:lang w:val="uk-UA"/>
        </w:rPr>
        <w:t>Звіту про фінансові результати за 200</w:t>
      </w:r>
      <w:r w:rsidR="00E919F9">
        <w:rPr>
          <w:rFonts w:ascii="Verdana" w:hAnsi="Verdana"/>
          <w:sz w:val="22"/>
          <w:szCs w:val="22"/>
          <w:lang w:val="uk-UA"/>
        </w:rPr>
        <w:t>9</w:t>
      </w:r>
      <w:r w:rsidRPr="00060BFF">
        <w:rPr>
          <w:rFonts w:ascii="Verdana" w:hAnsi="Verdana"/>
          <w:sz w:val="22"/>
          <w:szCs w:val="22"/>
          <w:lang w:val="uk-UA"/>
        </w:rPr>
        <w:t xml:space="preserve"> рік;</w:t>
      </w:r>
    </w:p>
    <w:p w:rsidR="00394D98" w:rsidRPr="00060BFF" w:rsidRDefault="00394D98">
      <w:pPr>
        <w:numPr>
          <w:ilvl w:val="0"/>
          <w:numId w:val="15"/>
        </w:numPr>
        <w:rPr>
          <w:rFonts w:ascii="Verdana" w:hAnsi="Verdana"/>
          <w:sz w:val="22"/>
          <w:szCs w:val="22"/>
          <w:lang w:val="uk-UA"/>
        </w:rPr>
      </w:pPr>
      <w:r w:rsidRPr="00060BFF">
        <w:rPr>
          <w:rFonts w:ascii="Verdana" w:hAnsi="Verdana"/>
          <w:sz w:val="22"/>
          <w:szCs w:val="22"/>
          <w:lang w:val="uk-UA"/>
        </w:rPr>
        <w:t>Приміток до фінансової звітності</w:t>
      </w:r>
      <w:r w:rsidRPr="00060BFF">
        <w:rPr>
          <w:rFonts w:ascii="Verdana" w:hAnsi="Verdana"/>
          <w:sz w:val="22"/>
          <w:szCs w:val="22"/>
        </w:rPr>
        <w:t xml:space="preserve"> </w:t>
      </w:r>
      <w:r w:rsidRPr="00060BFF">
        <w:rPr>
          <w:rFonts w:ascii="Verdana" w:hAnsi="Verdana"/>
          <w:sz w:val="22"/>
          <w:szCs w:val="22"/>
          <w:lang w:val="uk-UA"/>
        </w:rPr>
        <w:t>за 200</w:t>
      </w:r>
      <w:r w:rsidR="00E919F9">
        <w:rPr>
          <w:rFonts w:ascii="Verdana" w:hAnsi="Verdana"/>
          <w:sz w:val="22"/>
          <w:szCs w:val="22"/>
          <w:lang w:val="uk-UA"/>
        </w:rPr>
        <w:t>9</w:t>
      </w:r>
      <w:r w:rsidRPr="00060BFF">
        <w:rPr>
          <w:rFonts w:ascii="Verdana" w:hAnsi="Verdana"/>
          <w:sz w:val="22"/>
          <w:szCs w:val="22"/>
          <w:lang w:val="uk-UA"/>
        </w:rPr>
        <w:t xml:space="preserve"> рік у довільній формі.</w:t>
      </w:r>
    </w:p>
    <w:p w:rsidR="00B826AF" w:rsidRPr="006448FD" w:rsidRDefault="00394D98" w:rsidP="006448FD">
      <w:pPr>
        <w:jc w:val="both"/>
        <w:rPr>
          <w:rFonts w:ascii="Verdana" w:hAnsi="Verdana"/>
          <w:sz w:val="22"/>
          <w:szCs w:val="22"/>
          <w:lang w:val="uk-UA"/>
        </w:rPr>
      </w:pPr>
      <w:r w:rsidRPr="00060BFF">
        <w:rPr>
          <w:rFonts w:ascii="Verdana" w:hAnsi="Verdana"/>
          <w:sz w:val="22"/>
          <w:szCs w:val="22"/>
          <w:lang w:val="uk-UA"/>
        </w:rPr>
        <w:t xml:space="preserve">на предмет </w:t>
      </w:r>
      <w:r w:rsidRPr="00931A4E">
        <w:rPr>
          <w:rFonts w:ascii="Verdana" w:hAnsi="Verdana"/>
          <w:sz w:val="22"/>
          <w:szCs w:val="22"/>
          <w:lang w:val="uk-UA"/>
        </w:rPr>
        <w:t>повноти, достовірності та відповідності чинному законодавсту та встановленим нормативам.</w:t>
      </w:r>
    </w:p>
    <w:p w:rsidR="00394D98" w:rsidRPr="00931A4E" w:rsidRDefault="00394D98">
      <w:pPr>
        <w:rPr>
          <w:rFonts w:ascii="Verdana" w:hAnsi="Verdana"/>
          <w:i/>
          <w:sz w:val="22"/>
          <w:szCs w:val="22"/>
          <w:lang w:val="uk-UA"/>
        </w:rPr>
      </w:pPr>
      <w:r w:rsidRPr="00931A4E">
        <w:rPr>
          <w:rFonts w:ascii="Verdana" w:hAnsi="Verdana"/>
          <w:i/>
          <w:sz w:val="22"/>
          <w:szCs w:val="22"/>
          <w:lang w:val="uk-UA"/>
        </w:rPr>
        <w:t>Відповідальність управлінського персоналу</w:t>
      </w:r>
    </w:p>
    <w:p w:rsidR="00394D98" w:rsidRDefault="00394D98">
      <w:pPr>
        <w:pStyle w:val="20"/>
        <w:ind w:firstLine="360"/>
        <w:rPr>
          <w:rFonts w:ascii="Verdana" w:hAnsi="Verdana"/>
          <w:lang w:val="uk-UA"/>
        </w:rPr>
      </w:pPr>
      <w:r w:rsidRPr="00060BFF">
        <w:rPr>
          <w:rFonts w:ascii="Verdana" w:hAnsi="Verdana"/>
          <w:lang w:val="uk-UA"/>
        </w:rPr>
        <w:t>Управлінський персонал несе відповідальність за підготовку та достовірне представлення цих фінансових звітів у відповідності до Національних стандартів (положень) бухгалтерського обліку. Відповідальність управлінського персоналу охоплює: розробку, впровадження та використання внутрішнього контролю стосовно підготовки та достовірного представлення фінансових звітів, які не містять суттєвих викривлень внаслідок шахрайства або помилки; вибір та застосування</w:t>
      </w:r>
      <w:r>
        <w:rPr>
          <w:rFonts w:ascii="Verdana" w:hAnsi="Verdana"/>
          <w:lang w:val="uk-UA"/>
        </w:rPr>
        <w:t xml:space="preserve"> відповідної облікової політики, а також облікових оцінок, які відповідають обставинам.</w:t>
      </w:r>
    </w:p>
    <w:p w:rsidR="00394D98" w:rsidRDefault="00394D98">
      <w:pPr>
        <w:pStyle w:val="20"/>
        <w:ind w:firstLine="0"/>
        <w:rPr>
          <w:rFonts w:ascii="Verdana" w:hAnsi="Verdana"/>
          <w:i/>
          <w:lang w:val="uk-UA"/>
        </w:rPr>
      </w:pPr>
      <w:r>
        <w:rPr>
          <w:rFonts w:ascii="Verdana" w:hAnsi="Verdana"/>
          <w:i/>
          <w:lang w:val="uk-UA"/>
        </w:rPr>
        <w:t>Відповідальність аудитора.</w:t>
      </w:r>
    </w:p>
    <w:p w:rsidR="00394D98" w:rsidRDefault="00394D98">
      <w:pPr>
        <w:pStyle w:val="20"/>
        <w:ind w:firstLine="360"/>
        <w:rPr>
          <w:rFonts w:ascii="Verdana" w:hAnsi="Verdana"/>
          <w:lang w:val="uk-UA"/>
        </w:rPr>
      </w:pPr>
      <w:r>
        <w:rPr>
          <w:lang w:val="uk-UA"/>
        </w:rPr>
        <w:t xml:space="preserve"> </w:t>
      </w:r>
      <w:r>
        <w:rPr>
          <w:rFonts w:ascii="Verdana" w:hAnsi="Verdana"/>
          <w:lang w:val="uk-UA"/>
        </w:rPr>
        <w:t xml:space="preserve">Нашою відповідальністю є надання висновку щодо цих фінансових звітів на основі результатів нашої аудиторської перевірки. Ми провели аудиторську перевірку згідно з Міжнародними стандартами аудиту, які використовуються у якості  Національних стандартів аудиту в Україні. Ці стандарти вимагають від нас дотримання етичних вимог, а також планування й виконання аудиторської перевірки для отримання достатньої впевненості, що фінансові звіти не містять суттєвих викривлень. </w:t>
      </w:r>
    </w:p>
    <w:p w:rsidR="00394D98" w:rsidRDefault="00394D98">
      <w:pPr>
        <w:pStyle w:val="20"/>
        <w:ind w:firstLine="36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Аудит включав виконання аудиторських процедур задля отримання аудиторських доказів стосовно сум та розкриття у фінансових звітах. Відбір процедур залежить від судження аудитора. До таких процедур входить і оцінка ризиків суттєвих викривлень фінансових звітів внаслідок шахрайства або помилок. Виконуючи оцінку таких ризиків аудитор, розглядає заходи внутрішнього контролю, що стосуються підготовки та достовірного представлення фінансових звітів, з метою розробки аудиторських процедур, які відповідають обставинам, а не з метою висловлення думки щодо ефективності внутрішнього контролю суб'єкта господарювання. Аудит включав також оцінку відповідності використаної облікової політики, прийнятність облікових оцінок, зроблених управлінським персоналом, та загального представлення фінансових звітів.</w:t>
      </w:r>
    </w:p>
    <w:p w:rsidR="00394D98" w:rsidRDefault="00394D98">
      <w:pPr>
        <w:pStyle w:val="20"/>
        <w:ind w:firstLine="36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Аудитор підтверджує, що виконав усі відповідні етичні процедури стосовно незалежності та не знаходиться в стані залежності від перевіреного нами підприємства ВАТ «</w:t>
      </w:r>
      <w:r w:rsidR="00C77A7D">
        <w:rPr>
          <w:rFonts w:ascii="Verdana" w:hAnsi="Verdana"/>
          <w:lang w:val="uk-UA"/>
        </w:rPr>
        <w:t>ПМК Легбуд</w:t>
      </w:r>
      <w:r>
        <w:rPr>
          <w:rFonts w:ascii="Verdana" w:hAnsi="Verdana"/>
          <w:lang w:val="uk-UA"/>
        </w:rPr>
        <w:t>».</w:t>
      </w:r>
    </w:p>
    <w:p w:rsidR="00394D98" w:rsidRPr="00B826AF" w:rsidRDefault="00394D98" w:rsidP="00B826AF">
      <w:pPr>
        <w:pStyle w:val="31"/>
        <w:ind w:firstLine="360"/>
      </w:pPr>
      <w:r>
        <w:lastRenderedPageBreak/>
        <w:t>Ми вважаємо, що отримали достатні та відповідні аудиторські докази для висловлення нашої думки.</w:t>
      </w:r>
    </w:p>
    <w:p w:rsidR="00926582" w:rsidRDefault="009C5DEF" w:rsidP="00926582">
      <w:pPr>
        <w:pStyle w:val="a3"/>
        <w:ind w:firstLine="360"/>
        <w:jc w:val="both"/>
        <w:rPr>
          <w:rFonts w:ascii="Verdana" w:hAnsi="Verdana"/>
          <w:b w:val="0"/>
          <w:sz w:val="22"/>
          <w:lang w:val="uk-UA"/>
        </w:rPr>
      </w:pPr>
      <w:r>
        <w:rPr>
          <w:rFonts w:ascii="Verdana" w:hAnsi="Verdana"/>
          <w:b w:val="0"/>
          <w:sz w:val="22"/>
          <w:lang w:val="uk-UA"/>
        </w:rPr>
        <w:t xml:space="preserve">Як зазначено у Примітці </w:t>
      </w:r>
      <w:r w:rsidR="00864B87">
        <w:rPr>
          <w:rFonts w:ascii="Verdana" w:hAnsi="Verdana"/>
          <w:b w:val="0"/>
          <w:sz w:val="22"/>
          <w:lang w:val="uk-UA"/>
        </w:rPr>
        <w:t>3</w:t>
      </w:r>
      <w:r w:rsidR="00394D98">
        <w:rPr>
          <w:rFonts w:ascii="Verdana" w:hAnsi="Verdana"/>
          <w:b w:val="0"/>
          <w:sz w:val="22"/>
          <w:lang w:val="uk-UA"/>
        </w:rPr>
        <w:t xml:space="preserve"> до Балансу, у фінансових звітах не враховано резерв сумнівних боргів та не створено забезпечення щодо виплат персоналу, що на нашу думку, не відповідає Національним положенням (стандартам) бухгалтерського обліку. </w:t>
      </w:r>
      <w:r w:rsidR="00926582">
        <w:rPr>
          <w:rFonts w:ascii="Verdana" w:hAnsi="Verdana"/>
          <w:b w:val="0"/>
          <w:sz w:val="22"/>
          <w:lang w:val="uk-UA"/>
        </w:rPr>
        <w:t>Підприємство має  2 дочірні підприємства, звітність не консолідована, що не відпові</w:t>
      </w:r>
      <w:r w:rsidR="00864B87">
        <w:rPr>
          <w:rFonts w:ascii="Verdana" w:hAnsi="Verdana"/>
          <w:b w:val="0"/>
          <w:sz w:val="22"/>
          <w:lang w:val="uk-UA"/>
        </w:rPr>
        <w:t>д</w:t>
      </w:r>
      <w:r w:rsidR="00926582">
        <w:rPr>
          <w:rFonts w:ascii="Verdana" w:hAnsi="Verdana"/>
          <w:b w:val="0"/>
          <w:sz w:val="22"/>
          <w:lang w:val="uk-UA"/>
        </w:rPr>
        <w:t>ає вимогам</w:t>
      </w:r>
      <w:r w:rsidR="002C4A24">
        <w:rPr>
          <w:rFonts w:ascii="Verdana" w:hAnsi="Verdana"/>
          <w:b w:val="0"/>
          <w:sz w:val="22"/>
          <w:lang w:val="uk-UA"/>
        </w:rPr>
        <w:t xml:space="preserve"> П(С)БО 20 «Консолідована фінансова звітність»</w:t>
      </w:r>
    </w:p>
    <w:p w:rsidR="00394D98" w:rsidRDefault="00394D98">
      <w:pPr>
        <w:pStyle w:val="a3"/>
        <w:ind w:firstLine="360"/>
        <w:jc w:val="both"/>
        <w:rPr>
          <w:rFonts w:ascii="Verdana" w:hAnsi="Verdana"/>
          <w:b w:val="0"/>
          <w:sz w:val="22"/>
          <w:lang w:val="uk-UA"/>
        </w:rPr>
      </w:pPr>
      <w:r>
        <w:rPr>
          <w:rFonts w:ascii="Verdana" w:hAnsi="Verdana"/>
          <w:b w:val="0"/>
          <w:sz w:val="22"/>
          <w:lang w:val="uk-UA"/>
        </w:rPr>
        <w:t xml:space="preserve">Всі перераховані ситуації є результатом рішення, прийнятого управлінським персоналом і це змусило нас висловити умовно-позитивну думку щодо фінансових звітів за цей рік. </w:t>
      </w:r>
    </w:p>
    <w:p w:rsidR="00394D98" w:rsidRDefault="00394D98">
      <w:pPr>
        <w:pStyle w:val="31"/>
      </w:pPr>
    </w:p>
    <w:p w:rsidR="00394D98" w:rsidRDefault="00394D98">
      <w:pPr>
        <w:pStyle w:val="31"/>
        <w:ind w:firstLine="360"/>
        <w:rPr>
          <w:i/>
        </w:rPr>
      </w:pPr>
      <w:r>
        <w:rPr>
          <w:i/>
        </w:rPr>
        <w:t>Висновок</w:t>
      </w:r>
    </w:p>
    <w:p w:rsidR="00394D98" w:rsidRDefault="00394D98">
      <w:pPr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На нашу думку, за винятком впливу коригувань, які могли б бути потрібними для нашого підтвердження величини чистого прибутку, та  впливу інших питань, про які йдеться в попередньому параграфі, фінансові звіти достовірно у всіх суттєвих аспектах відображають фінансовий стан ВАТ </w:t>
      </w:r>
      <w:r w:rsidR="009C5DEF">
        <w:rPr>
          <w:rFonts w:ascii="Verdana" w:hAnsi="Verdana"/>
          <w:sz w:val="22"/>
          <w:lang w:val="uk-UA"/>
        </w:rPr>
        <w:t>ПМК Легбуд</w:t>
      </w:r>
      <w:r>
        <w:rPr>
          <w:rFonts w:ascii="Verdana" w:hAnsi="Verdana"/>
          <w:sz w:val="22"/>
          <w:lang w:val="uk-UA"/>
        </w:rPr>
        <w:t xml:space="preserve"> станом на 31 грудня 200</w:t>
      </w:r>
      <w:r w:rsidR="00E919F9">
        <w:rPr>
          <w:rFonts w:ascii="Verdana" w:hAnsi="Verdana"/>
          <w:sz w:val="22"/>
          <w:lang w:val="uk-UA"/>
        </w:rPr>
        <w:t>9</w:t>
      </w:r>
      <w:r>
        <w:rPr>
          <w:rFonts w:ascii="Verdana" w:hAnsi="Verdana"/>
          <w:sz w:val="22"/>
          <w:lang w:val="uk-UA"/>
        </w:rPr>
        <w:t xml:space="preserve"> року, його фінансові результати за рік, що минув на зазначену дату, у відповідності до Закону України “Про бухгалтерський облік та фінансову звітність” та Національних положень (стандартів) бухгалтерського обліку в Україні. </w:t>
      </w:r>
    </w:p>
    <w:p w:rsidR="00394D98" w:rsidRDefault="00394D98">
      <w:pPr>
        <w:pStyle w:val="20"/>
        <w:ind w:firstLine="36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Не вносячи до нашого висновку застережень, в наступних пояснювальних параграфах аудитор звертає увагу на додаткову інформацію, висновок щодо якої надається згідно  Положення  щодо підготовки аудиторських висновків, які подаються до Державної комісії з цінних паперів та фондового ринку при розкритті інформації емітентами та професійними учасниками фондового ринку, затвердженого Міністерством юстиції України  № 53/13320  23 січня 2007 року.</w:t>
      </w:r>
    </w:p>
    <w:p w:rsidR="00394D98" w:rsidRDefault="00394D98">
      <w:pPr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     Концептуальною основою для ведення бухгалтерського обліку та складання фінансових звітів підприємства є Національні положення (стандарти) бухгалтерського обліку та  Закон України “Про бухгалтерський облік та фінансову звітність в Україні”. </w:t>
      </w:r>
    </w:p>
    <w:p w:rsidR="00394D98" w:rsidRDefault="00394D98">
      <w:pPr>
        <w:pStyle w:val="a4"/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>ВАТ “</w:t>
      </w:r>
      <w:r w:rsidR="009C5DEF">
        <w:rPr>
          <w:rFonts w:ascii="Verdana" w:hAnsi="Verdana"/>
          <w:sz w:val="22"/>
          <w:lang w:val="uk-UA"/>
        </w:rPr>
        <w:t>ПМК Легбуд</w:t>
      </w:r>
      <w:r>
        <w:rPr>
          <w:rFonts w:ascii="Verdana" w:hAnsi="Verdana"/>
          <w:sz w:val="22"/>
          <w:lang w:val="uk-UA"/>
        </w:rPr>
        <w:t>” веде бухгалтерський облік господарських операцій щодо майна і результатів своєї діяльності в натуральних одиницях і в узагальненому грошовому виразі шляхом безперервного документального і взаємопов'язаного їх відображення.</w:t>
      </w:r>
    </w:p>
    <w:p w:rsidR="00394D98" w:rsidRDefault="00394D98">
      <w:pPr>
        <w:pStyle w:val="a4"/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  Бухгалтерський облік господарських одиниць здійснюється методом подвійного запису згідно з Планом рахунків бухгалтерського обліку у відповідних журналах ордерах та аналітичних відомостях. Облік ведеться вручну, хоча підприємством придбано бухгалтерську програму.</w:t>
      </w:r>
    </w:p>
    <w:p w:rsidR="00394D98" w:rsidRDefault="00394D98">
      <w:pPr>
        <w:pStyle w:val="a4"/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  При перевірці було встановлено, що фінансова звітність підприємства за 200</w:t>
      </w:r>
      <w:r w:rsidR="00E919F9">
        <w:rPr>
          <w:rFonts w:ascii="Verdana" w:hAnsi="Verdana"/>
          <w:sz w:val="22"/>
          <w:lang w:val="uk-UA"/>
        </w:rPr>
        <w:t>9</w:t>
      </w:r>
      <w:r>
        <w:rPr>
          <w:rFonts w:ascii="Verdana" w:hAnsi="Verdana"/>
          <w:sz w:val="22"/>
          <w:lang w:val="uk-UA"/>
        </w:rPr>
        <w:t xml:space="preserve"> рік складена на підставі облікових регістрів, дані в яких відображені на підставі первинних документів. Стан наявних первинних документів, журналів – ордерів, аналітичних відомостей та інших регістрів обліку задовільний.</w:t>
      </w:r>
    </w:p>
    <w:p w:rsidR="00394D98" w:rsidRDefault="00394D98">
      <w:pPr>
        <w:pStyle w:val="a4"/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  Фінансова та податкова звітність складається та подається до відповідних державних органів своєчасно.</w:t>
      </w:r>
    </w:p>
    <w:p w:rsidR="00394D98" w:rsidRDefault="00394D98">
      <w:pPr>
        <w:pStyle w:val="a4"/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  На основі проведених аудиторами тестів можна зазначити, що бухгалтерський та податковий облік в цілому ведеться відповідно до вимог Закону України “Про бухгалтерський облік та фінансову звітність в Україні” від 16.07.99 р. № 996-Х1V, затверджених Положень (стандартів) бухгалтерського обліку та інших нормативних документів з питань організації бухгалтерського обліку та оподаткування, Наказу про облікову політику.</w:t>
      </w:r>
    </w:p>
    <w:p w:rsidR="00394D98" w:rsidRDefault="00394D98">
      <w:pPr>
        <w:pStyle w:val="21"/>
        <w:ind w:firstLine="357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Активи підприємства на дату Балансу складають</w:t>
      </w:r>
      <w:r w:rsidR="00B826AF">
        <w:rPr>
          <w:rFonts w:ascii="Verdana" w:hAnsi="Verdana"/>
          <w:lang w:val="uk-UA"/>
        </w:rPr>
        <w:t xml:space="preserve"> незавершене будівництво,</w:t>
      </w:r>
      <w:r>
        <w:rPr>
          <w:rFonts w:ascii="Verdana" w:hAnsi="Verdana"/>
          <w:lang w:val="uk-UA"/>
        </w:rPr>
        <w:t xml:space="preserve"> основні з</w:t>
      </w:r>
      <w:r w:rsidR="005F13C3">
        <w:rPr>
          <w:rFonts w:ascii="Verdana" w:hAnsi="Verdana"/>
          <w:lang w:val="uk-UA"/>
        </w:rPr>
        <w:t>асоби,  запаси, грошові кошти,  дебіторська заборгованість та інша дебіторська заборгованість.</w:t>
      </w:r>
    </w:p>
    <w:p w:rsidR="00394D98" w:rsidRDefault="00394D98">
      <w:pPr>
        <w:pStyle w:val="21"/>
        <w:ind w:firstLine="36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На думку аудиторів, склад основних засобів, достовірність і повнота їх оцінки, а також ступінь розкриття інформації в цілому відповідають вимогам П(С)БО № 7 та Положенню про бухгалтерський облік. </w:t>
      </w:r>
    </w:p>
    <w:p w:rsidR="00394D98" w:rsidRDefault="00394D98">
      <w:pPr>
        <w:pStyle w:val="21"/>
        <w:ind w:firstLine="357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 Запаси відображаються, згідно П(С)БО № 9 “Запаси”, за первісною вартістю. </w:t>
      </w:r>
    </w:p>
    <w:p w:rsidR="00394D98" w:rsidRDefault="00394D98">
      <w:pPr>
        <w:pStyle w:val="21"/>
        <w:ind w:firstLine="357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lastRenderedPageBreak/>
        <w:t>Дебіторська заборгованість за товари, роботи, послуги відображається за первісною вартістю, без врахування резерву сумнівних боргів, створення яких передбачено П(С)БО № 10 “Дебіторська заборгованість”.</w:t>
      </w:r>
    </w:p>
    <w:p w:rsidR="00394D98" w:rsidRDefault="00394D98">
      <w:pPr>
        <w:pStyle w:val="21"/>
        <w:ind w:firstLine="357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 На нашу думку, за винятком впливу коригувань, які могли б бути потрібними для нашого підтвердження, інформація за видами активів розкрита підприємством відповідно до вимог Національних положень (стандартів) бухгалтерського обліку. </w:t>
      </w:r>
    </w:p>
    <w:p w:rsidR="00394D98" w:rsidRPr="00F3680C" w:rsidRDefault="00394D98">
      <w:pPr>
        <w:pStyle w:val="a3"/>
        <w:ind w:firstLine="357"/>
        <w:jc w:val="both"/>
        <w:rPr>
          <w:rFonts w:ascii="Verdana" w:hAnsi="Verdana"/>
          <w:b w:val="0"/>
          <w:sz w:val="22"/>
          <w:szCs w:val="22"/>
          <w:lang w:val="uk-UA"/>
        </w:rPr>
      </w:pPr>
      <w:r>
        <w:rPr>
          <w:rFonts w:ascii="Verdana" w:hAnsi="Verdana"/>
          <w:b w:val="0"/>
          <w:sz w:val="22"/>
          <w:lang w:val="uk-UA"/>
        </w:rPr>
        <w:t>Зобов'язання підприємства складають   кредиторська заборгованість за товари, роботи, послуги; поточні зобов</w:t>
      </w:r>
      <w:r w:rsidR="00EC5FDA">
        <w:rPr>
          <w:rFonts w:ascii="Verdana" w:hAnsi="Verdana"/>
          <w:b w:val="0"/>
          <w:sz w:val="22"/>
          <w:lang w:val="uk-UA"/>
        </w:rPr>
        <w:t>'язання за рахунками з бюджетом, страхування та оплати праці.</w:t>
      </w:r>
      <w:r>
        <w:rPr>
          <w:rFonts w:ascii="Verdana" w:hAnsi="Verdana"/>
          <w:b w:val="0"/>
          <w:sz w:val="22"/>
          <w:lang w:val="uk-UA"/>
        </w:rPr>
        <w:t xml:space="preserve"> Зобов'язання відображені, в цілому за сумою погашення, згідно П(С)БО № 11 “Зобов'язання”.   На нашу думку інформація про зобов'язання </w:t>
      </w:r>
      <w:r w:rsidRPr="00F3680C">
        <w:rPr>
          <w:rFonts w:ascii="Verdana" w:hAnsi="Verdana"/>
          <w:b w:val="0"/>
          <w:sz w:val="22"/>
          <w:szCs w:val="22"/>
          <w:lang w:val="uk-UA"/>
        </w:rPr>
        <w:t xml:space="preserve">розкрита підприємством відповідно до вимог Національних положень (стандартів)   бухгалтерського обліку. </w:t>
      </w:r>
    </w:p>
    <w:p w:rsidR="00394D98" w:rsidRPr="00F3680C" w:rsidRDefault="00394D98">
      <w:pPr>
        <w:pStyle w:val="a3"/>
        <w:ind w:firstLine="357"/>
        <w:jc w:val="both"/>
        <w:rPr>
          <w:rFonts w:ascii="Verdana" w:hAnsi="Verdana"/>
          <w:b w:val="0"/>
          <w:sz w:val="22"/>
          <w:szCs w:val="22"/>
          <w:lang w:val="uk-UA"/>
        </w:rPr>
      </w:pPr>
      <w:r w:rsidRPr="00F3680C">
        <w:rPr>
          <w:rFonts w:ascii="Verdana" w:hAnsi="Verdana"/>
          <w:b w:val="0"/>
          <w:sz w:val="22"/>
          <w:szCs w:val="22"/>
          <w:lang w:val="uk-UA"/>
        </w:rPr>
        <w:t xml:space="preserve"> Власний капітал підприємства складає статутний капітал</w:t>
      </w:r>
      <w:r w:rsidR="004D5384" w:rsidRPr="00F3680C">
        <w:rPr>
          <w:rFonts w:ascii="Verdana" w:hAnsi="Verdana"/>
          <w:b w:val="0"/>
          <w:sz w:val="22"/>
          <w:szCs w:val="22"/>
          <w:lang w:val="uk-UA"/>
        </w:rPr>
        <w:t>, додатковий капітал та непокриті</w:t>
      </w:r>
      <w:r w:rsidRPr="00F3680C">
        <w:rPr>
          <w:rFonts w:ascii="Verdana" w:hAnsi="Verdana"/>
          <w:b w:val="0"/>
          <w:sz w:val="22"/>
          <w:szCs w:val="22"/>
          <w:lang w:val="uk-UA"/>
        </w:rPr>
        <w:t xml:space="preserve"> збитки.</w:t>
      </w:r>
      <w:r w:rsidR="00F3680C" w:rsidRPr="00F3680C">
        <w:rPr>
          <w:rFonts w:ascii="Verdana" w:hAnsi="Verdana"/>
          <w:b w:val="0"/>
          <w:sz w:val="22"/>
          <w:szCs w:val="22"/>
        </w:rPr>
        <w:t xml:space="preserve">     Статутний капітал ВАТ “ПМК Легбуд” складає    68760,0 грн. що розподілено на 458 400 простих іменних акцій номінальною вартістю 0,15 грн.</w:t>
      </w:r>
      <w:r w:rsidRPr="00F3680C">
        <w:rPr>
          <w:rFonts w:ascii="Verdana" w:hAnsi="Verdana"/>
          <w:b w:val="0"/>
          <w:sz w:val="22"/>
          <w:szCs w:val="22"/>
        </w:rPr>
        <w:t xml:space="preserve"> </w:t>
      </w:r>
      <w:r w:rsidRPr="00F3680C">
        <w:rPr>
          <w:rFonts w:ascii="Verdana" w:hAnsi="Verdana"/>
          <w:b w:val="0"/>
          <w:sz w:val="22"/>
          <w:szCs w:val="22"/>
          <w:lang w:val="uk-UA"/>
        </w:rPr>
        <w:t xml:space="preserve"> Статутний капітал </w:t>
      </w:r>
      <w:r w:rsidR="0090527E">
        <w:rPr>
          <w:rFonts w:ascii="Verdana" w:hAnsi="Verdana"/>
          <w:b w:val="0"/>
          <w:sz w:val="22"/>
          <w:szCs w:val="22"/>
          <w:lang w:val="uk-UA"/>
        </w:rPr>
        <w:t xml:space="preserve">на звітну дату </w:t>
      </w:r>
      <w:r w:rsidRPr="00F3680C">
        <w:rPr>
          <w:rFonts w:ascii="Verdana" w:hAnsi="Verdana"/>
          <w:b w:val="0"/>
          <w:sz w:val="22"/>
          <w:szCs w:val="22"/>
          <w:lang w:val="uk-UA"/>
        </w:rPr>
        <w:t>сплачено</w:t>
      </w:r>
      <w:r w:rsidR="0090527E">
        <w:rPr>
          <w:rFonts w:ascii="Verdana" w:hAnsi="Verdana"/>
          <w:b w:val="0"/>
          <w:sz w:val="22"/>
          <w:szCs w:val="22"/>
          <w:lang w:val="uk-UA"/>
        </w:rPr>
        <w:t xml:space="preserve"> повністю.</w:t>
      </w:r>
      <w:r w:rsidR="007770FB">
        <w:rPr>
          <w:rFonts w:ascii="Verdana" w:hAnsi="Verdana"/>
          <w:b w:val="0"/>
          <w:sz w:val="22"/>
          <w:szCs w:val="22"/>
          <w:lang w:val="uk-UA"/>
        </w:rPr>
        <w:t xml:space="preserve"> </w:t>
      </w:r>
    </w:p>
    <w:p w:rsidR="00394D98" w:rsidRDefault="00394D98">
      <w:pPr>
        <w:pStyle w:val="a4"/>
        <w:ind w:firstLine="0"/>
        <w:jc w:val="both"/>
        <w:rPr>
          <w:rFonts w:ascii="Verdana" w:hAnsi="Verdana"/>
          <w:sz w:val="22"/>
          <w:lang w:val="uk-UA"/>
        </w:rPr>
      </w:pPr>
      <w:r w:rsidRPr="00F3680C">
        <w:rPr>
          <w:rFonts w:ascii="Verdana" w:hAnsi="Verdana"/>
          <w:sz w:val="22"/>
          <w:szCs w:val="22"/>
          <w:lang w:val="uk-UA"/>
        </w:rPr>
        <w:t xml:space="preserve">     Вартість чистих активів підприємства</w:t>
      </w:r>
      <w:r>
        <w:rPr>
          <w:rFonts w:ascii="Verdana" w:hAnsi="Verdana"/>
          <w:sz w:val="22"/>
          <w:lang w:val="uk-UA"/>
        </w:rPr>
        <w:t xml:space="preserve"> на дату Балансу становить </w:t>
      </w:r>
      <w:r w:rsidR="00EC5FDA">
        <w:rPr>
          <w:rFonts w:ascii="Verdana" w:hAnsi="Verdana"/>
          <w:sz w:val="22"/>
          <w:lang w:val="uk-UA"/>
        </w:rPr>
        <w:t>679,3</w:t>
      </w:r>
      <w:r w:rsidR="006448FD">
        <w:rPr>
          <w:rFonts w:ascii="Verdana" w:hAnsi="Verdana"/>
          <w:sz w:val="22"/>
          <w:lang w:val="uk-UA"/>
        </w:rPr>
        <w:t xml:space="preserve"> </w:t>
      </w:r>
      <w:r>
        <w:rPr>
          <w:rFonts w:ascii="Verdana" w:hAnsi="Verdana"/>
          <w:sz w:val="22"/>
          <w:lang w:val="uk-UA"/>
        </w:rPr>
        <w:t xml:space="preserve">тис. грн., що  відповідає ст. 155 частині 3 Цивільного кодексу України від 16.01.2003. </w:t>
      </w:r>
    </w:p>
    <w:p w:rsidR="00394D98" w:rsidRDefault="00394D98">
      <w:pPr>
        <w:ind w:firstLine="426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Не змінюючи нашої думки, ми звертаємо увагу на Примітку </w:t>
      </w:r>
      <w:r w:rsidR="0090527E">
        <w:rPr>
          <w:rFonts w:ascii="Verdana" w:hAnsi="Verdana"/>
          <w:sz w:val="22"/>
          <w:lang w:val="uk-UA"/>
        </w:rPr>
        <w:t>8</w:t>
      </w:r>
      <w:r>
        <w:rPr>
          <w:rFonts w:ascii="Verdana" w:hAnsi="Verdana"/>
          <w:sz w:val="22"/>
          <w:lang w:val="uk-UA"/>
        </w:rPr>
        <w:t xml:space="preserve"> до фінансових звітів, у якій зазначається, що підприємство станом на 31 грудня 200</w:t>
      </w:r>
      <w:r w:rsidR="00E919F9">
        <w:rPr>
          <w:rFonts w:ascii="Verdana" w:hAnsi="Verdana"/>
          <w:sz w:val="22"/>
          <w:lang w:val="uk-UA"/>
        </w:rPr>
        <w:t>9</w:t>
      </w:r>
      <w:r>
        <w:rPr>
          <w:rFonts w:ascii="Verdana" w:hAnsi="Verdana"/>
          <w:sz w:val="22"/>
          <w:lang w:val="uk-UA"/>
        </w:rPr>
        <w:t xml:space="preserve"> має непокритий збиток сумою </w:t>
      </w:r>
      <w:r w:rsidR="006448FD">
        <w:rPr>
          <w:rFonts w:ascii="Verdana" w:hAnsi="Verdana"/>
          <w:sz w:val="22"/>
          <w:lang w:val="uk-UA"/>
        </w:rPr>
        <w:t>38</w:t>
      </w:r>
      <w:r w:rsidR="00E919F9">
        <w:rPr>
          <w:rFonts w:ascii="Verdana" w:hAnsi="Verdana"/>
          <w:sz w:val="22"/>
          <w:lang w:val="uk-UA"/>
        </w:rPr>
        <w:t>7</w:t>
      </w:r>
      <w:r w:rsidR="006448FD">
        <w:rPr>
          <w:rFonts w:ascii="Verdana" w:hAnsi="Verdana"/>
          <w:sz w:val="22"/>
          <w:lang w:val="uk-UA"/>
        </w:rPr>
        <w:t>,</w:t>
      </w:r>
      <w:r w:rsidR="00E919F9">
        <w:rPr>
          <w:rFonts w:ascii="Verdana" w:hAnsi="Verdana"/>
          <w:sz w:val="22"/>
          <w:lang w:val="uk-UA"/>
        </w:rPr>
        <w:t>0</w:t>
      </w:r>
      <w:r>
        <w:rPr>
          <w:rFonts w:ascii="Verdana" w:hAnsi="Verdana"/>
          <w:sz w:val="22"/>
          <w:lang w:val="uk-UA"/>
        </w:rPr>
        <w:t xml:space="preserve"> тис. грн.  Обставини, що викладені вище, свідчать про наявність суттєвої невизначеності, яка може породити значні сумніви в здатності підприємства продовжувати свою діяльність на безперервній основі.</w:t>
      </w:r>
    </w:p>
    <w:p w:rsidR="00394D98" w:rsidRDefault="00394D98">
      <w:pPr>
        <w:pStyle w:val="a4"/>
        <w:ind w:firstLine="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pacing w:val="20"/>
          <w:sz w:val="22"/>
          <w:lang w:val="uk-UA"/>
        </w:rPr>
        <w:t xml:space="preserve">    </w:t>
      </w:r>
      <w:r>
        <w:rPr>
          <w:rFonts w:ascii="Verdana" w:hAnsi="Verdana"/>
          <w:sz w:val="22"/>
          <w:lang w:val="uk-UA"/>
        </w:rPr>
        <w:t xml:space="preserve">На нашу думку, за винятком впливу коригувань, які могли б бути потрібними для нашого підтвердження, інформація про власний капітал розкрита підприємством відповідно до вимог Національних положень (стандартів) бухгалтерського обліку. </w:t>
      </w:r>
    </w:p>
    <w:p w:rsidR="00394D98" w:rsidRDefault="00394D98">
      <w:pPr>
        <w:pStyle w:val="a4"/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>Чистий прибуток підприємства за 200</w:t>
      </w:r>
      <w:r w:rsidR="00E919F9">
        <w:rPr>
          <w:rFonts w:ascii="Verdana" w:hAnsi="Verdana"/>
          <w:sz w:val="22"/>
          <w:lang w:val="uk-UA"/>
        </w:rPr>
        <w:t>9</w:t>
      </w:r>
      <w:r>
        <w:rPr>
          <w:rFonts w:ascii="Verdana" w:hAnsi="Verdana"/>
          <w:sz w:val="22"/>
          <w:lang w:val="uk-UA"/>
        </w:rPr>
        <w:t xml:space="preserve"> рік розрахований відповідно до вимог Національних положень (стандартів)   бухгалтерського обліку. Чистий </w:t>
      </w:r>
      <w:r w:rsidR="00F3680C">
        <w:rPr>
          <w:rFonts w:ascii="Verdana" w:hAnsi="Verdana"/>
          <w:sz w:val="22"/>
          <w:lang w:val="uk-UA"/>
        </w:rPr>
        <w:t>збиток</w:t>
      </w:r>
      <w:r>
        <w:rPr>
          <w:rFonts w:ascii="Verdana" w:hAnsi="Verdana"/>
          <w:sz w:val="22"/>
          <w:lang w:val="uk-UA"/>
        </w:rPr>
        <w:t xml:space="preserve"> за 200</w:t>
      </w:r>
      <w:r w:rsidR="00E919F9">
        <w:rPr>
          <w:rFonts w:ascii="Verdana" w:hAnsi="Verdana"/>
          <w:sz w:val="22"/>
          <w:lang w:val="uk-UA"/>
        </w:rPr>
        <w:t>9</w:t>
      </w:r>
      <w:r>
        <w:rPr>
          <w:rFonts w:ascii="Verdana" w:hAnsi="Verdana"/>
          <w:sz w:val="22"/>
          <w:lang w:val="uk-UA"/>
        </w:rPr>
        <w:t xml:space="preserve"> рік складає </w:t>
      </w:r>
      <w:r w:rsidR="00E919F9">
        <w:rPr>
          <w:rFonts w:ascii="Verdana" w:hAnsi="Verdana"/>
          <w:sz w:val="22"/>
          <w:lang w:val="uk-UA"/>
        </w:rPr>
        <w:t>2,7</w:t>
      </w:r>
      <w:r>
        <w:rPr>
          <w:rFonts w:ascii="Verdana" w:hAnsi="Verdana"/>
          <w:sz w:val="22"/>
          <w:lang w:val="uk-UA"/>
        </w:rPr>
        <w:t xml:space="preserve"> тис. грн.  </w:t>
      </w:r>
    </w:p>
    <w:p w:rsidR="00394D98" w:rsidRDefault="00394D98">
      <w:pPr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Особлива </w:t>
      </w:r>
      <w:r w:rsidR="0069545B">
        <w:rPr>
          <w:rFonts w:ascii="Verdana" w:hAnsi="Verdana"/>
          <w:sz w:val="22"/>
          <w:lang w:val="uk-UA"/>
        </w:rPr>
        <w:t>інформація про події, визначені</w:t>
      </w:r>
      <w:r>
        <w:rPr>
          <w:rFonts w:ascii="Verdana" w:hAnsi="Verdana"/>
          <w:sz w:val="22"/>
          <w:lang w:val="uk-UA"/>
        </w:rPr>
        <w:t xml:space="preserve"> у частині першої статті 41 Закону України “Про цінні папери та фондовий ринок”, що можуть вплинути на фінансово господарський стан емітента та призвести до значної зміни вартості його цінних паперів  розкрита у Річній інформації емітента за 200</w:t>
      </w:r>
      <w:r w:rsidR="00E919F9">
        <w:rPr>
          <w:rFonts w:ascii="Verdana" w:hAnsi="Verdana"/>
          <w:sz w:val="22"/>
          <w:lang w:val="uk-UA"/>
        </w:rPr>
        <w:t>9</w:t>
      </w:r>
      <w:r>
        <w:rPr>
          <w:rFonts w:ascii="Verdana" w:hAnsi="Verdana"/>
          <w:sz w:val="22"/>
          <w:lang w:val="uk-UA"/>
        </w:rPr>
        <w:t xml:space="preserve"> рік та у Примітках до фінансової звітності у довільній формі, змін у особливій інформації не відбувалось.</w:t>
      </w:r>
    </w:p>
    <w:p w:rsidR="00394D98" w:rsidRDefault="00394D98">
      <w:pPr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 xml:space="preserve"> Строки, порядок та форми подання особливої інформації про емітента встановлюються Державної комісією з цінних паперів та фондового ринку.  </w:t>
      </w:r>
    </w:p>
    <w:p w:rsidR="00394D98" w:rsidRDefault="00394D98">
      <w:pPr>
        <w:ind w:firstLine="360"/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>На підставі проведеного аудиту за 200</w:t>
      </w:r>
      <w:r w:rsidR="00E919F9">
        <w:rPr>
          <w:rFonts w:ascii="Verdana" w:hAnsi="Verdana"/>
          <w:sz w:val="22"/>
          <w:lang w:val="uk-UA"/>
        </w:rPr>
        <w:t>9</w:t>
      </w:r>
      <w:r>
        <w:rPr>
          <w:rFonts w:ascii="Verdana" w:hAnsi="Verdana"/>
          <w:sz w:val="22"/>
          <w:lang w:val="uk-UA"/>
        </w:rPr>
        <w:t xml:space="preserve"> рік, на нашу думку, оцінка стану впровадження принципів корпоративного управління ВАТ «</w:t>
      </w:r>
      <w:r w:rsidR="00F3680C">
        <w:rPr>
          <w:rFonts w:ascii="Verdana" w:hAnsi="Verdana"/>
          <w:sz w:val="22"/>
          <w:lang w:val="uk-UA"/>
        </w:rPr>
        <w:t>ПМК Легбуд</w:t>
      </w:r>
      <w:r>
        <w:rPr>
          <w:rFonts w:ascii="Verdana" w:hAnsi="Verdana"/>
          <w:sz w:val="22"/>
          <w:lang w:val="uk-UA"/>
        </w:rPr>
        <w:t>» знаходиться на задовільному рівні. В цілому дотримуються права акціонерів стосовно вільного розпорядження належних їм акцій. Для подальшого підвищення ефективності керування підприємством необхідно більше уваги приділяти прогнозуванню фінансових ризиків, внутрішньому контролю на підприємстві та аналізу фінансово-господарського стану підприємства.</w:t>
      </w:r>
    </w:p>
    <w:p w:rsidR="00394D98" w:rsidRDefault="00394D98">
      <w:pPr>
        <w:pStyle w:val="20"/>
        <w:ind w:firstLine="0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     Зміст та форма Балансу станом на 31.12.200</w:t>
      </w:r>
      <w:r w:rsidR="00E919F9">
        <w:rPr>
          <w:rFonts w:ascii="Verdana" w:hAnsi="Verdana"/>
          <w:lang w:val="uk-UA"/>
        </w:rPr>
        <w:t>9</w:t>
      </w:r>
      <w:r>
        <w:rPr>
          <w:rFonts w:ascii="Verdana" w:hAnsi="Verdana"/>
          <w:lang w:val="uk-UA"/>
        </w:rPr>
        <w:t xml:space="preserve"> року, загальні вимоги до розкриття його статей, відповідають Положенню (Стандарту) бухгалтерського обліку № 2</w:t>
      </w:r>
      <w:r w:rsidR="0090527E">
        <w:rPr>
          <w:rFonts w:ascii="Verdana" w:hAnsi="Verdana"/>
          <w:lang w:val="uk-UA"/>
        </w:rPr>
        <w:t>5</w:t>
      </w:r>
      <w:r>
        <w:rPr>
          <w:rFonts w:ascii="Verdana" w:hAnsi="Verdana"/>
          <w:lang w:val="uk-UA"/>
        </w:rPr>
        <w:t>. Зміст та форма Звіту про фінансові результати за 200</w:t>
      </w:r>
      <w:r w:rsidR="00F14255" w:rsidRPr="00F14255">
        <w:rPr>
          <w:rFonts w:ascii="Verdana" w:hAnsi="Verdana"/>
        </w:rPr>
        <w:t>9</w:t>
      </w:r>
      <w:r>
        <w:rPr>
          <w:rFonts w:ascii="Verdana" w:hAnsi="Verdana"/>
          <w:lang w:val="uk-UA"/>
        </w:rPr>
        <w:t xml:space="preserve"> рік, загальні вимоги до розкриття його статей відповідають Положенню (Стандарту) бухгалтерського обліку № </w:t>
      </w:r>
      <w:r w:rsidR="0090527E">
        <w:rPr>
          <w:rFonts w:ascii="Verdana" w:hAnsi="Verdana"/>
          <w:lang w:val="uk-UA"/>
        </w:rPr>
        <w:t>25</w:t>
      </w:r>
      <w:r>
        <w:rPr>
          <w:rFonts w:ascii="Verdana" w:hAnsi="Verdana"/>
          <w:lang w:val="uk-UA"/>
        </w:rPr>
        <w:t xml:space="preserve">. </w:t>
      </w:r>
      <w:r>
        <w:rPr>
          <w:rFonts w:ascii="Verdana" w:hAnsi="Verdana"/>
          <w:lang w:val="uk-UA"/>
        </w:rPr>
        <w:tab/>
      </w:r>
    </w:p>
    <w:p w:rsidR="00394D98" w:rsidRDefault="00394D98">
      <w:pPr>
        <w:jc w:val="both"/>
        <w:rPr>
          <w:rFonts w:ascii="Verdana" w:hAnsi="Verdana"/>
          <w:sz w:val="22"/>
          <w:lang w:val="uk-UA"/>
        </w:rPr>
      </w:pPr>
    </w:p>
    <w:p w:rsidR="00394D98" w:rsidRDefault="00394D98">
      <w:pPr>
        <w:pStyle w:val="30"/>
        <w:rPr>
          <w:rFonts w:ascii="Verdana" w:hAnsi="Verdana"/>
          <w:sz w:val="18"/>
          <w:lang w:val="uk-UA"/>
        </w:rPr>
      </w:pPr>
      <w:r>
        <w:rPr>
          <w:rFonts w:ascii="Verdana" w:hAnsi="Verdana"/>
          <w:sz w:val="18"/>
          <w:lang w:val="uk-UA"/>
        </w:rPr>
        <w:t xml:space="preserve">Складено  </w:t>
      </w:r>
      <w:r w:rsidR="007202C9">
        <w:rPr>
          <w:rFonts w:ascii="Verdana" w:hAnsi="Verdana"/>
          <w:sz w:val="18"/>
          <w:lang w:val="uk-UA"/>
        </w:rPr>
        <w:t>2</w:t>
      </w:r>
      <w:r w:rsidR="00E919F9">
        <w:rPr>
          <w:rFonts w:ascii="Verdana" w:hAnsi="Verdana"/>
          <w:sz w:val="18"/>
          <w:lang w:val="uk-UA"/>
        </w:rPr>
        <w:t>2</w:t>
      </w:r>
      <w:r>
        <w:rPr>
          <w:rFonts w:ascii="Verdana" w:hAnsi="Verdana"/>
          <w:sz w:val="18"/>
          <w:lang w:val="uk-UA"/>
        </w:rPr>
        <w:t xml:space="preserve"> </w:t>
      </w:r>
      <w:r w:rsidR="007202C9">
        <w:rPr>
          <w:rFonts w:ascii="Verdana" w:hAnsi="Verdana"/>
          <w:sz w:val="18"/>
          <w:lang w:val="uk-UA"/>
        </w:rPr>
        <w:t>квітня</w:t>
      </w:r>
      <w:r w:rsidR="00E919F9">
        <w:rPr>
          <w:rFonts w:ascii="Verdana" w:hAnsi="Verdana"/>
          <w:sz w:val="18"/>
          <w:lang w:val="uk-UA"/>
        </w:rPr>
        <w:t xml:space="preserve"> 2010</w:t>
      </w:r>
      <w:r>
        <w:rPr>
          <w:rFonts w:ascii="Verdana" w:hAnsi="Verdana"/>
          <w:sz w:val="18"/>
          <w:lang w:val="uk-UA"/>
        </w:rPr>
        <w:t xml:space="preserve"> року.</w:t>
      </w:r>
    </w:p>
    <w:p w:rsidR="00394D98" w:rsidRDefault="00394D98">
      <w:pPr>
        <w:jc w:val="both"/>
        <w:rPr>
          <w:rFonts w:ascii="Verdana" w:hAnsi="Verdana"/>
          <w:sz w:val="22"/>
          <w:lang w:val="uk-UA"/>
        </w:rPr>
      </w:pPr>
    </w:p>
    <w:p w:rsidR="00394D98" w:rsidRDefault="00394D98">
      <w:pPr>
        <w:jc w:val="center"/>
        <w:rPr>
          <w:rFonts w:ascii="Verdana" w:hAnsi="Verdana"/>
          <w:sz w:val="22"/>
          <w:lang w:val="uk-UA"/>
        </w:rPr>
      </w:pPr>
    </w:p>
    <w:p w:rsidR="00394D98" w:rsidRDefault="00394D98">
      <w:pPr>
        <w:rPr>
          <w:rFonts w:ascii="Verdana" w:hAnsi="Verdana"/>
          <w:spacing w:val="20"/>
          <w:lang w:val="uk-UA"/>
        </w:rPr>
      </w:pPr>
      <w:r>
        <w:rPr>
          <w:rFonts w:ascii="Verdana" w:hAnsi="Verdana"/>
          <w:spacing w:val="20"/>
          <w:lang w:val="uk-UA"/>
        </w:rPr>
        <w:t xml:space="preserve">                  Директор                                           </w:t>
      </w:r>
    </w:p>
    <w:p w:rsidR="00394D98" w:rsidRDefault="00394D98">
      <w:pPr>
        <w:rPr>
          <w:rFonts w:ascii="Verdana" w:hAnsi="Verdana"/>
          <w:spacing w:val="20"/>
          <w:lang w:val="uk-UA"/>
        </w:rPr>
      </w:pPr>
      <w:r>
        <w:rPr>
          <w:rFonts w:ascii="Verdana" w:hAnsi="Verdana"/>
          <w:spacing w:val="20"/>
          <w:lang w:val="uk-UA"/>
        </w:rPr>
        <w:t xml:space="preserve"> Аудиторської фірми “КАПІТАЛЪ”</w:t>
      </w:r>
      <w:r>
        <w:rPr>
          <w:rFonts w:ascii="Verdana" w:hAnsi="Verdana"/>
          <w:spacing w:val="20"/>
          <w:lang w:val="uk-UA"/>
        </w:rPr>
        <w:tab/>
        <w:t xml:space="preserve">                                     Приходько Я. П.</w:t>
      </w:r>
    </w:p>
    <w:p w:rsidR="00394D98" w:rsidRDefault="00394D98">
      <w:pPr>
        <w:jc w:val="center"/>
        <w:rPr>
          <w:rFonts w:ascii="Verdana" w:hAnsi="Verdana"/>
          <w:spacing w:val="20"/>
          <w:lang w:val="uk-UA"/>
        </w:rPr>
      </w:pPr>
    </w:p>
    <w:p w:rsidR="00394D98" w:rsidRDefault="00394D98">
      <w:pPr>
        <w:ind w:left="3600"/>
        <w:rPr>
          <w:rFonts w:ascii="Verdana" w:hAnsi="Verdana"/>
          <w:sz w:val="12"/>
          <w:lang w:val="uk-UA"/>
        </w:rPr>
      </w:pPr>
      <w:r>
        <w:rPr>
          <w:rFonts w:ascii="Verdana" w:hAnsi="Verdana"/>
          <w:sz w:val="12"/>
          <w:lang w:val="uk-UA"/>
        </w:rPr>
        <w:t xml:space="preserve">                                    Сертифікат аудитора №000940А виданий 28.03.96р. дійсний до 28.0</w:t>
      </w:r>
      <w:r w:rsidR="00EC5FDA">
        <w:rPr>
          <w:rFonts w:ascii="Verdana" w:hAnsi="Verdana"/>
          <w:sz w:val="12"/>
          <w:lang w:val="uk-UA"/>
        </w:rPr>
        <w:t>3</w:t>
      </w:r>
      <w:r>
        <w:rPr>
          <w:rFonts w:ascii="Verdana" w:hAnsi="Verdana"/>
          <w:sz w:val="12"/>
          <w:lang w:val="uk-UA"/>
        </w:rPr>
        <w:t>.1</w:t>
      </w:r>
      <w:r w:rsidR="00F14255" w:rsidRPr="00F14255">
        <w:rPr>
          <w:rFonts w:ascii="Verdana" w:hAnsi="Verdana"/>
          <w:sz w:val="12"/>
        </w:rPr>
        <w:t>5</w:t>
      </w:r>
      <w:r>
        <w:rPr>
          <w:rFonts w:ascii="Verdana" w:hAnsi="Verdana"/>
          <w:sz w:val="12"/>
          <w:lang w:val="uk-UA"/>
        </w:rPr>
        <w:t>р.</w:t>
      </w:r>
    </w:p>
    <w:sectPr w:rsidR="00394D98">
      <w:headerReference w:type="default" r:id="rId7"/>
      <w:pgSz w:w="11906" w:h="16838" w:code="9"/>
      <w:pgMar w:top="1134" w:right="851" w:bottom="851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0F" w:rsidRDefault="0023180F">
      <w:r>
        <w:separator/>
      </w:r>
    </w:p>
  </w:endnote>
  <w:endnote w:type="continuationSeparator" w:id="1">
    <w:p w:rsidR="0023180F" w:rsidRDefault="0023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erminal">
    <w:panose1 w:val="00000000000000000000"/>
    <w:charset w:val="FF"/>
    <w:family w:val="swiss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0F" w:rsidRDefault="0023180F">
      <w:r>
        <w:separator/>
      </w:r>
    </w:p>
  </w:footnote>
  <w:footnote w:type="continuationSeparator" w:id="1">
    <w:p w:rsidR="0023180F" w:rsidRDefault="00231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98" w:rsidRDefault="00394D98">
    <w:pPr>
      <w:pStyle w:val="a5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Аудиторська фірма КАПІТАЛ</w:t>
    </w:r>
    <w:r>
      <w:t>ъ</w:t>
    </w:r>
    <w:r>
      <w:rPr>
        <w:lang w:val="uk-UA"/>
      </w:rPr>
      <w:t>.</w:t>
    </w:r>
  </w:p>
  <w:p w:rsidR="00394D98" w:rsidRDefault="00394D98">
    <w:pPr>
      <w:pStyle w:val="a5"/>
      <w:rPr>
        <w:lang w:val="uk-UA"/>
      </w:rPr>
    </w:pPr>
    <w:r>
      <w:rPr>
        <w:lang w:val="uk-UA"/>
      </w:rPr>
      <w:t xml:space="preserve">                                               </w:t>
    </w:r>
  </w:p>
  <w:p w:rsidR="00394D98" w:rsidRDefault="00394D98">
    <w:pPr>
      <w:pStyle w:val="a5"/>
      <w:rPr>
        <w:rFonts w:ascii="Terminal" w:hAnsi="Terminal"/>
        <w:lang w:val="uk-UA"/>
      </w:rPr>
    </w:pPr>
  </w:p>
  <w:p w:rsidR="00394D98" w:rsidRDefault="00394D98">
    <w:pPr>
      <w:pStyle w:val="a5"/>
      <w:rPr>
        <w:rFonts w:ascii="Terminal" w:hAnsi="Terminal"/>
        <w:lang w:val="uk-UA"/>
      </w:rPr>
    </w:pPr>
  </w:p>
  <w:p w:rsidR="00394D98" w:rsidRDefault="00394D98">
    <w:pPr>
      <w:pStyle w:val="a5"/>
      <w:rPr>
        <w:rFonts w:ascii="Terminal" w:hAnsi="Terminal"/>
        <w:lang w:val="uk-UA"/>
      </w:rPr>
    </w:pPr>
  </w:p>
  <w:p w:rsidR="00394D98" w:rsidRDefault="00394D98">
    <w:pPr>
      <w:pStyle w:val="a5"/>
      <w:rPr>
        <w:rFonts w:ascii="Terminal" w:hAnsi="Terminal"/>
        <w:lang w:val="uk-UA"/>
      </w:rPr>
    </w:pPr>
  </w:p>
  <w:p w:rsidR="00394D98" w:rsidRDefault="00394D98">
    <w:pPr>
      <w:pStyle w:val="a5"/>
      <w:rPr>
        <w:rFonts w:ascii="Terminal" w:hAnsi="Terminal"/>
        <w:lang w:val="uk-UA"/>
      </w:rPr>
    </w:pPr>
  </w:p>
  <w:p w:rsidR="00394D98" w:rsidRDefault="00394D98">
    <w:pPr>
      <w:pStyle w:val="a5"/>
      <w:rPr>
        <w:lang w:val="uk-UA"/>
      </w:rPr>
    </w:pPr>
    <w:r>
      <w:rPr>
        <w:rFonts w:ascii="Terminal" w:hAnsi="Terminal"/>
        <w:lang w:val="uk-UA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F8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B0660"/>
    <w:multiLevelType w:val="singleLevel"/>
    <w:tmpl w:val="66982A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9707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D04A59"/>
    <w:multiLevelType w:val="singleLevel"/>
    <w:tmpl w:val="14A0A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0F39CF"/>
    <w:multiLevelType w:val="singleLevel"/>
    <w:tmpl w:val="FA6A5C1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1D0013A"/>
    <w:multiLevelType w:val="singleLevel"/>
    <w:tmpl w:val="99E2EED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3D51419"/>
    <w:multiLevelType w:val="multilevel"/>
    <w:tmpl w:val="7C984F5E"/>
    <w:lvl w:ilvl="0">
      <w:start w:val="4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672"/>
        </w:tabs>
        <w:ind w:left="1672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9"/>
        </w:tabs>
        <w:ind w:left="2009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6"/>
        </w:tabs>
        <w:ind w:left="2346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19"/>
        </w:tabs>
        <w:ind w:left="451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2520"/>
      </w:pPr>
      <w:rPr>
        <w:rFonts w:hint="default"/>
      </w:rPr>
    </w:lvl>
  </w:abstractNum>
  <w:abstractNum w:abstractNumId="7">
    <w:nsid w:val="1D3112B0"/>
    <w:multiLevelType w:val="singleLevel"/>
    <w:tmpl w:val="2E607EF4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746F1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3B1CF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1757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6A7F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0559E9"/>
    <w:multiLevelType w:val="singleLevel"/>
    <w:tmpl w:val="2154F664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</w:abstractNum>
  <w:abstractNum w:abstractNumId="13">
    <w:nsid w:val="31472EFF"/>
    <w:multiLevelType w:val="singleLevel"/>
    <w:tmpl w:val="6060AD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B94F29"/>
    <w:multiLevelType w:val="singleLevel"/>
    <w:tmpl w:val="38F430AC"/>
    <w:lvl w:ilvl="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5">
    <w:nsid w:val="3D4E0FBA"/>
    <w:multiLevelType w:val="singleLevel"/>
    <w:tmpl w:val="F3DC007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0DF62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8C095A"/>
    <w:multiLevelType w:val="singleLevel"/>
    <w:tmpl w:val="F60A6B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F3746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F4D0C8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677A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67D465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906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E53C4D"/>
    <w:multiLevelType w:val="singleLevel"/>
    <w:tmpl w:val="35EC0736"/>
    <w:lvl w:ilvl="0">
      <w:start w:val="24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</w:abstractNum>
  <w:abstractNum w:abstractNumId="24">
    <w:nsid w:val="5A6F1C71"/>
    <w:multiLevelType w:val="singleLevel"/>
    <w:tmpl w:val="9878B15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714C0A"/>
    <w:multiLevelType w:val="multilevel"/>
    <w:tmpl w:val="C120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3F12589"/>
    <w:multiLevelType w:val="multilevel"/>
    <w:tmpl w:val="4886D15A"/>
    <w:lvl w:ilvl="0">
      <w:start w:val="60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1657"/>
        </w:tabs>
        <w:ind w:left="1657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4"/>
        </w:tabs>
        <w:ind w:left="199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1"/>
        </w:tabs>
        <w:ind w:left="2331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19"/>
        </w:tabs>
        <w:ind w:left="451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2520"/>
      </w:pPr>
      <w:rPr>
        <w:rFonts w:hint="default"/>
      </w:rPr>
    </w:lvl>
  </w:abstractNum>
  <w:abstractNum w:abstractNumId="27">
    <w:nsid w:val="75905A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23"/>
  </w:num>
  <w:num w:numId="5">
    <w:abstractNumId w:val="12"/>
  </w:num>
  <w:num w:numId="6">
    <w:abstractNumId w:val="7"/>
  </w:num>
  <w:num w:numId="7">
    <w:abstractNumId w:val="24"/>
  </w:num>
  <w:num w:numId="8">
    <w:abstractNumId w:val="5"/>
  </w:num>
  <w:num w:numId="9">
    <w:abstractNumId w:val="26"/>
  </w:num>
  <w:num w:numId="10">
    <w:abstractNumId w:val="6"/>
  </w:num>
  <w:num w:numId="11">
    <w:abstractNumId w:val="14"/>
  </w:num>
  <w:num w:numId="12">
    <w:abstractNumId w:val="21"/>
  </w:num>
  <w:num w:numId="13">
    <w:abstractNumId w:val="9"/>
  </w:num>
  <w:num w:numId="14">
    <w:abstractNumId w:val="18"/>
  </w:num>
  <w:num w:numId="15">
    <w:abstractNumId w:val="10"/>
  </w:num>
  <w:num w:numId="16">
    <w:abstractNumId w:val="20"/>
  </w:num>
  <w:num w:numId="17">
    <w:abstractNumId w:val="19"/>
  </w:num>
  <w:num w:numId="18">
    <w:abstractNumId w:val="0"/>
  </w:num>
  <w:num w:numId="19">
    <w:abstractNumId w:val="15"/>
  </w:num>
  <w:num w:numId="20">
    <w:abstractNumId w:val="1"/>
  </w:num>
  <w:num w:numId="21">
    <w:abstractNumId w:val="11"/>
  </w:num>
  <w:num w:numId="22">
    <w:abstractNumId w:val="16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EEC"/>
    <w:rsid w:val="00030178"/>
    <w:rsid w:val="00060BFF"/>
    <w:rsid w:val="000D158D"/>
    <w:rsid w:val="00110B4A"/>
    <w:rsid w:val="00180E0E"/>
    <w:rsid w:val="001D55D8"/>
    <w:rsid w:val="0023180F"/>
    <w:rsid w:val="002C4A24"/>
    <w:rsid w:val="00384D87"/>
    <w:rsid w:val="00394D98"/>
    <w:rsid w:val="004D5384"/>
    <w:rsid w:val="00531EB5"/>
    <w:rsid w:val="005F13C3"/>
    <w:rsid w:val="006448FD"/>
    <w:rsid w:val="0069545B"/>
    <w:rsid w:val="007202C9"/>
    <w:rsid w:val="007770FB"/>
    <w:rsid w:val="007C1BC6"/>
    <w:rsid w:val="007E7BDE"/>
    <w:rsid w:val="00830EEC"/>
    <w:rsid w:val="00864B87"/>
    <w:rsid w:val="0090527E"/>
    <w:rsid w:val="00926582"/>
    <w:rsid w:val="00931A4E"/>
    <w:rsid w:val="00976CBA"/>
    <w:rsid w:val="009C5DEF"/>
    <w:rsid w:val="009F5487"/>
    <w:rsid w:val="00B5349C"/>
    <w:rsid w:val="00B826AF"/>
    <w:rsid w:val="00C77A7D"/>
    <w:rsid w:val="00D63838"/>
    <w:rsid w:val="00D91638"/>
    <w:rsid w:val="00DC7FA1"/>
    <w:rsid w:val="00E919F9"/>
    <w:rsid w:val="00EB072F"/>
    <w:rsid w:val="00EC5FDA"/>
    <w:rsid w:val="00F14255"/>
    <w:rsid w:val="00F3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ahoma" w:hAnsi="Tahoma"/>
      <w:b/>
      <w:sz w:val="1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sz w:val="22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2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Tahoma" w:hAnsi="Tahoma"/>
      <w:b/>
      <w:sz w:val="10"/>
    </w:rPr>
  </w:style>
  <w:style w:type="paragraph" w:styleId="20">
    <w:name w:val="Body Text Indent 2"/>
    <w:basedOn w:val="a"/>
    <w:pPr>
      <w:ind w:firstLine="720"/>
      <w:jc w:val="both"/>
    </w:pPr>
    <w:rPr>
      <w:sz w:val="22"/>
    </w:rPr>
  </w:style>
  <w:style w:type="paragraph" w:styleId="30">
    <w:name w:val="Body Text 3"/>
    <w:basedOn w:val="a"/>
    <w:rPr>
      <w:rFonts w:ascii="Tahoma" w:hAnsi="Tahoma"/>
      <w:sz w:val="22"/>
    </w:rPr>
  </w:style>
  <w:style w:type="paragraph" w:styleId="a4">
    <w:name w:val="Body Text Indent"/>
    <w:basedOn w:val="a"/>
    <w:pPr>
      <w:ind w:firstLine="720"/>
    </w:pPr>
    <w:rPr>
      <w:rFonts w:ascii="Tahoma" w:hAnsi="Tahoma"/>
      <w:sz w:val="1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Tahoma" w:hAnsi="Tahoma"/>
      <w:sz w:val="1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Tahoma" w:hAnsi="Tahoma"/>
      <w:sz w:val="10"/>
    </w:rPr>
  </w:style>
  <w:style w:type="paragraph" w:styleId="a8">
    <w:name w:val="caption"/>
    <w:basedOn w:val="a"/>
    <w:next w:val="a"/>
    <w:qFormat/>
    <w:pPr>
      <w:tabs>
        <w:tab w:val="left" w:pos="6862"/>
      </w:tabs>
      <w:jc w:val="center"/>
    </w:pPr>
    <w:rPr>
      <w:i/>
      <w:sz w:val="24"/>
    </w:rPr>
  </w:style>
  <w:style w:type="paragraph" w:styleId="31">
    <w:name w:val="Body Text Indent 3"/>
    <w:basedOn w:val="a"/>
    <w:pPr>
      <w:ind w:firstLine="810"/>
      <w:jc w:val="both"/>
    </w:pPr>
    <w:rPr>
      <w:rFonts w:ascii="Verdana" w:hAnsi="Verdana"/>
      <w:sz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</dc:creator>
  <cp:keywords/>
  <cp:lastModifiedBy>Garag</cp:lastModifiedBy>
  <cp:revision>1</cp:revision>
  <cp:lastPrinted>2010-04-23T11:12:00Z</cp:lastPrinted>
  <dcterms:created xsi:type="dcterms:W3CDTF">2012-02-22T08:55:00Z</dcterms:created>
  <dcterms:modified xsi:type="dcterms:W3CDTF">2012-02-22T08:55:00Z</dcterms:modified>
</cp:coreProperties>
</file>